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426"/>
        </w:tabs>
        <w:ind w:left="-311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-2494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Вих. №445/110371      від  " 27" вересня 2023 р.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Керівнику підприємства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-2494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-2551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Запрошення на тендер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-2551" w:firstLine="51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За дорученням АТ "Криворізький залізорудний комбінат" (м. Кривий Ріг, Дніпропетровська обл.) Тендерний комітет ТОВ "Бі Ті Солюшинс" оголошує тендер з відбору підрядника на виконання робіт з н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алагодження обладнання хімводоочищення котельних в структурних підрозділах комбінату.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-2551" w:firstLine="510"/>
        <w:jc w:val="both"/>
        <w:rPr>
          <w:rFonts w:ascii="Times New Roman" w:cs="Times New Roman" w:eastAsia="Times New Roman" w:hAnsi="Times New Roman"/>
          <w:color w:val="00000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-2551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Предмет тендеру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-2551" w:firstLine="51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Виконання робіт у відповідності до ТЗ (додатки) на наступних об”єктах комбінату: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-2409.448818897638" w:hanging="135"/>
        <w:jc w:val="both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шахта “Тернівська”;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-2409.448818897638" w:hanging="135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шахта “Козацька”;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-2409.448818897638" w:hanging="135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шахта “Покровська”;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-2409.448818897638" w:hanging="135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завод ЗБВ.</w:t>
      </w:r>
    </w:p>
    <w:p w:rsidR="00000000" w:rsidDel="00000000" w:rsidP="00000000" w:rsidRDefault="00000000" w:rsidRPr="00000000" w14:paraId="0000000E">
      <w:pPr>
        <w:spacing w:after="0" w:lineRule="auto"/>
        <w:ind w:left="-2551" w:firstLine="0"/>
        <w:jc w:val="both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-2551" w:firstLine="51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Кваліфікаційні вимоги Замовника: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left="-2551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1. Послуги повинні бути виконані в обсязі вимог, встановлених чинними законодавчими актами і нормативними документами.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-2551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2. Наявність співробітників з відповідною кваліфікацією (надання сертифікатів та свідоцтв співробітників).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left="-2551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3. Наявність позитивного досвіду роботи у вказаній сфері.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left="-255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00" w:lineRule="auto"/>
        <w:ind w:left="-2551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Умови проведення тендера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00" w:lineRule="auto"/>
        <w:ind w:left="-2551" w:firstLine="51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Для участі в тендері, Вам необхідно надати наступні документи: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00" w:lineRule="auto"/>
        <w:ind w:left="-2551" w:firstLine="51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1. Тендерна пропозиція, оформлена на фірмовому бланку підприємства, із зазначенням наступної інформації: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00" w:lineRule="auto"/>
        <w:ind w:left="-2551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- вартість виконання робіт, в грн. з ПДВ (розрахунок вартості).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00" w:lineRule="auto"/>
        <w:ind w:left="-2551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- умови виконання робіт та оплати;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00" w:lineRule="auto"/>
        <w:ind w:left="-2551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- терміни виконання робіт;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00" w:lineRule="auto"/>
        <w:ind w:left="-2551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- термін дії тендерної пропозиції;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00" w:lineRule="auto"/>
        <w:ind w:left="-2551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- реквізити підприємства (включаючи ЄДРПОУ);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00" w:lineRule="auto"/>
        <w:ind w:left="-2551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- додаткова інформація, за необхідністю.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00" w:lineRule="auto"/>
        <w:ind w:left="-2551" w:firstLine="51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2. Баланс за останній звітний період (Ф-1, Ф-2) / фінзвіт СПД - платника єд. Податку.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00" w:lineRule="auto"/>
        <w:ind w:left="-2551" w:firstLine="51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3. Сканкопії дозвільної документації на право виконання робіт.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00" w:lineRule="auto"/>
        <w:ind w:left="-2551" w:firstLine="51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4. Досвід виконання аналогічних робіт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копії договорів, референс-лист і т.д.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00" w:lineRule="auto"/>
        <w:ind w:left="-2551" w:firstLine="51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Якщо дані вимоги Вами не будуть виконані, пропозиція буде вважатися неповною і може бути відхилена!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00" w:lineRule="auto"/>
        <w:ind w:left="-2552"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00" w:lineRule="auto"/>
        <w:ind w:left="-2552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Умови виконання робіт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00" w:lineRule="auto"/>
        <w:ind w:left="-2552" w:firstLine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Термін дії тендерної пропозиції: не менше 30-и календарних днів з дати закінчення прийому пропозицій.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00" w:lineRule="auto"/>
        <w:ind w:left="-2552" w:firstLine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Терміни виконання робіт: 1 місяць 2023р., згідно з графіком, затвердженим Замовником.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00" w:lineRule="auto"/>
        <w:ind w:left="-2552" w:firstLine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Умови виконання робіт: матеріали, обладнання, транспортні витрати - за рахунок Підрядника.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00" w:lineRule="auto"/>
        <w:ind w:left="-2552" w:firstLine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Бажані умови оплати: по факту виконаних робіт, після підписання актів здачі-приймання виконаних робіт, з відстрочкою платежу 60 календарних днів.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00" w:lineRule="auto"/>
        <w:ind w:left="-2552" w:firstLine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Інші умови оплати будуть обговорюватися додатково.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00" w:lineRule="auto"/>
        <w:ind w:left="-2552" w:firstLine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Замовники тендерів вважають неприйнятним співпрацю з компаніями, що мають будь-які зв’язки з країнами-агресорами. ТОВ "БІ ТІ СОЛЮШИНС" поділяє таку позицію і звертає увагу учасників тендерів, що у разі виявлення таких зв’язків, опосередкованих включно, з країнами-агресорами, їх комерційні пропозиції будуть відхилені без додаткових роз'яснень.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00" w:lineRule="auto"/>
        <w:ind w:left="-2552" w:firstLine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00" w:lineRule="auto"/>
        <w:ind w:left="-2552" w:firstLine="425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Додаткові умови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line="300" w:lineRule="auto"/>
        <w:ind w:left="-2551" w:firstLine="454.00000000000006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Договори укладаються тільки в редакції АТ «Кривбасзалізрудком». З типовою формою договору Ви можете ознайомитися на офіційному сайті нашого підприємства: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sz w:val="24"/>
            <w:szCs w:val="24"/>
            <w:rtl w:val="0"/>
          </w:rPr>
          <w:t xml:space="preserve">https://www.krruda.dp.ua/tender/tipovye-dogovora/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. Для проходження процедури аналізу наявності ризиків взаємодії з контрагентами претендентам необхідно надати документи та інформацію, згідно з переліками, які знаходяться за посиланням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sz w:val="24"/>
            <w:szCs w:val="24"/>
            <w:rtl w:val="0"/>
          </w:rPr>
          <w:t xml:space="preserve">http://www.krruda.dp.ua/tender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line="300" w:lineRule="auto"/>
        <w:ind w:left="-2551" w:firstLine="45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Працівники підрядної організації під час виконання робіт (послуг) на території АТ "Кривбасзалізрудком" повинні пройти медичне обстеження перед отриманням наряду на робочу зміну у поверхневому медичному пункті структурного підрозділу, на якому вони виконують роботи.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line="300" w:lineRule="auto"/>
        <w:ind w:left="-2551" w:firstLine="45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АТ "Кривбасзалізрудком" перейшло на електронний документообіг з використанням кваліфікованої електронного підпису (КЕП). Документообіг (підписання договорів та окремих первинних документів) буде здійснюватися за допомогою сервісу електронного документообігу "Вчасно".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line="300" w:lineRule="auto"/>
        <w:ind w:left="-2551" w:firstLine="454.0000000000000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00" w:lineRule="auto"/>
        <w:ind w:left="-2552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Термін надання комерційних пропозицій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6"/>
          <w:szCs w:val="26"/>
          <w:u w:val="none"/>
          <w:rtl w:val="0"/>
        </w:rPr>
        <w:t xml:space="preserve">до 12:00 години "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6"/>
          <w:szCs w:val="26"/>
          <w:rtl w:val="0"/>
        </w:rPr>
        <w:t xml:space="preserve">05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6"/>
          <w:szCs w:val="26"/>
          <w:u w:val="no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6"/>
          <w:szCs w:val="26"/>
          <w:rtl w:val="0"/>
        </w:rPr>
        <w:t xml:space="preserve">жовтня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6"/>
          <w:szCs w:val="26"/>
          <w:u w:val="none"/>
          <w:rtl w:val="0"/>
        </w:rPr>
        <w:t xml:space="preserve">2023 р.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 Тендерну документацію необхідно направити через майданчик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6"/>
            <w:szCs w:val="26"/>
            <w:u w:val="single"/>
            <w:rtl w:val="0"/>
          </w:rPr>
          <w:t xml:space="preserve">smarttender.biz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00" w:lineRule="auto"/>
        <w:ind w:left="-255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00" w:lineRule="auto"/>
        <w:ind w:left="-2552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Контактні особи: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00" w:lineRule="auto"/>
        <w:ind w:left="-2552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1. Контактні особи в Тендерний Комітет для направлення тендерної документації та отримання роз'яснень по тендеру: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00" w:lineRule="auto"/>
        <w:ind w:left="-2552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Гуденко Юлія Євгеніївна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, e-mail: julija.gudenko@btsol.com.ua, SKYPE-name: dn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261285gje1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00" w:lineRule="auto"/>
        <w:ind w:left="-2552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- Заступник директора з проведення тендерних закупівель товарів і послуг Угленко Тетяна Віталіївна, tatjana.uglenko@btsol.com.ua, тел.056-717-10-30.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00" w:lineRule="auto"/>
        <w:ind w:left="-2552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- Заступник директора з питань проведення тендерів Бідаш Анатолій Мефодійович,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none"/>
            <w:rtl w:val="0"/>
          </w:rPr>
          <w:t xml:space="preserve">Anatolii.Bidash@btsol.com.ua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00" w:lineRule="auto"/>
        <w:ind w:left="-255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00" w:lineRule="auto"/>
        <w:ind w:left="-2552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2. Контактна особа від Замовника: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00" w:lineRule="auto"/>
        <w:ind w:left="-255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Виборнова Анастасія Олександрівна, 0564 442 402</w:t>
      </w:r>
    </w:p>
    <w:p w:rsidR="00000000" w:rsidDel="00000000" w:rsidP="00000000" w:rsidRDefault="00000000" w:rsidRPr="00000000" w14:paraId="00000039">
      <w:pPr>
        <w:spacing w:after="0" w:line="300" w:lineRule="auto"/>
        <w:ind w:left="-255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Бобриков Ігор, 056- 444-23-30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00" w:lineRule="auto"/>
        <w:ind w:left="-255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00" w:lineRule="auto"/>
        <w:ind w:left="-255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00" w:lineRule="auto"/>
        <w:ind w:left="-255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00" w:lineRule="auto"/>
        <w:ind w:left="-255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00" w:lineRule="auto"/>
        <w:ind w:left="-2552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none"/>
          <w:rtl w:val="0"/>
        </w:rPr>
        <w:t xml:space="preserve">Додатки: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300" w:lineRule="auto"/>
        <w:ind w:left="-2552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none"/>
          <w:rtl w:val="0"/>
        </w:rPr>
        <w:t xml:space="preserve">- Технічн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none"/>
          <w:rtl w:val="0"/>
        </w:rPr>
        <w:t xml:space="preserve"> завдання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300" w:lineRule="auto"/>
        <w:ind w:left="-2552" w:firstLine="0"/>
        <w:rPr/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default"/>
      <w:footerReference r:id="rId16" w:type="first"/>
      <w:pgSz w:h="16838" w:w="11906" w:orient="portrait"/>
      <w:pgMar w:bottom="1134" w:top="1182" w:left="4111" w:right="850" w:header="1125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1025" style="position:absolute;margin-left:-204.8pt;margin-top:705.05pt;width:593.6pt;height:79.8pt;z-index:1;mso-wrap-distance-left:0;mso-wrap-distance-right:0;mso-position-horizontal:absolute;mso-position-horizontal-relative:margin;mso-position-vertical:absolute;mso-position-vertical-relative:text" filled="t" type="#_x0000_t75">
          <v:fill color2="black" opacity="0"/>
          <v:imagedata r:id="rId1" o:title=""/>
        </v:shape>
      </w:pict>
    </w:r>
    <w:r w:rsidDel="00000000" w:rsidR="00000000" w:rsidRPr="00000000">
      <w:pict>
        <v:shape id="_x0000_s1026" style="position:absolute;margin-left:-192.25pt;margin-top:-46.85pt;width:564.7pt;height:98.8pt;z-index:-1;mso-wrap-distance-left:9pt;mso-wrap-distance-right:9pt;mso-position-horizontal:absolute;mso-position-horizontal-relative:margin;mso-position-vertical:absolute;mso-position-vertical-relative:text" filled="t" type="#_x0000_t75">
          <v:fill color2="black" opacity="0"/>
          <v:imagedata r:id="rId2" o:title=""/>
          <w10:wrap type="topAndBottom"/>
        </v:shape>
      </w:pic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suppressAutoHyphens w:val="1"/>
      <w:spacing w:after="200" w:line="276" w:lineRule="auto"/>
    </w:pPr>
    <w:rPr>
      <w:rFonts w:ascii="Calibri" w:cs="font1215" w:eastAsia="Calibri" w:hAnsi="Calibri"/>
      <w:kern w:val="1"/>
      <w:sz w:val="22"/>
      <w:szCs w:val="22"/>
      <w:lang w:eastAsia="en-US" w:val="ru-R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DefaultParagraphFont0">
    <w:name w:val="Default Paragraph Font"/>
  </w:style>
  <w:style w:type="character" w:styleId="a" w:customStyle="1">
    <w:name w:val="Верхний колонтитул Знак"/>
    <w:basedOn w:val="DefaultParagraphFont0"/>
  </w:style>
  <w:style w:type="character" w:styleId="a0" w:customStyle="1">
    <w:name w:val="Нижний колонтитул Знак"/>
    <w:basedOn w:val="DefaultParagraphFont0"/>
  </w:style>
  <w:style w:type="character" w:styleId="a1" w:customStyle="1">
    <w:name w:val="Текст выноски Знак"/>
    <w:rPr>
      <w:rFonts w:ascii="Tahoma" w:cs="Tahoma" w:hAnsi="Tahoma"/>
      <w:sz w:val="16"/>
      <w:szCs w:val="16"/>
    </w:rPr>
  </w:style>
  <w:style w:type="character" w:styleId="annotationreference" w:customStyle="1">
    <w:name w:val="annotation reference"/>
    <w:rPr>
      <w:sz w:val="18"/>
      <w:szCs w:val="18"/>
    </w:rPr>
  </w:style>
  <w:style w:type="character" w:styleId="a2" w:customStyle="1">
    <w:name w:val="Текст примечания Знак"/>
    <w:rPr>
      <w:sz w:val="24"/>
      <w:szCs w:val="24"/>
    </w:rPr>
  </w:style>
  <w:style w:type="character" w:styleId="a3" w:customStyle="1">
    <w:name w:val="Тема примечания Знак"/>
    <w:rPr>
      <w:b w:val="1"/>
      <w:bCs w:val="1"/>
      <w:sz w:val="20"/>
      <w:szCs w:val="20"/>
    </w:rPr>
  </w:style>
  <w:style w:type="character" w:styleId="Strong">
    <w:name w:val="Strong"/>
    <w:qFormat w:val="1"/>
    <w:rPr>
      <w:b w:val="1"/>
      <w:bCs w:val="1"/>
    </w:rPr>
  </w:style>
  <w:style w:type="character" w:styleId="a4" w:customStyle="1">
    <w:name w:val="Основной шрифт абзаца"/>
  </w:style>
  <w:style w:type="character" w:styleId="Hyperlink">
    <w:name w:val="Hyperlink"/>
    <w:rPr>
      <w:color w:val="0000ff"/>
      <w:u w:val="single"/>
    </w:rPr>
  </w:style>
  <w:style w:type="character" w:styleId="1" w:customStyle="1">
    <w:name w:val="Основной шрифт абзаца1"/>
  </w:style>
  <w:style w:type="character" w:styleId="FollowedHyperlink">
    <w:name w:val="FollowedHyperlink"/>
    <w:basedOn w:val="1"/>
  </w:style>
  <w:style w:type="paragraph" w:styleId="a5" w:customStyle="1">
    <w:name w:val="Заголовок"/>
    <w:basedOn w:val="Normal"/>
    <w:next w:val="BodyText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a6" w:customStyle="1">
    <w:name w:val="Указатель"/>
    <w:basedOn w:val="Normal"/>
    <w:pPr>
      <w:suppressLineNumbers w:val="1"/>
    </w:pPr>
    <w:rPr>
      <w:rFonts w:cs="Arial"/>
    </w:rPr>
  </w:style>
  <w:style w:type="paragraph" w:styleId="Title">
    <w:name w:val="Title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aption0" w:customStyle="1">
    <w:name w:val="caption"/>
    <w:basedOn w:val="Normal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xheading" w:customStyle="1">
    <w:name w:val="index heading"/>
    <w:basedOn w:val="Normal"/>
    <w:pPr>
      <w:suppressLineNumbers w:val="1"/>
    </w:pPr>
    <w:rPr>
      <w:rFonts w:cs="Arial"/>
    </w:rPr>
  </w:style>
  <w:style w:type="paragraph" w:styleId="a7" w:customStyle="1">
    <w:name w:val="Колонтитул"/>
    <w:basedOn w:val="Normal"/>
  </w:style>
  <w:style w:type="paragraph" w:styleId="Header">
    <w:name w:val="header"/>
    <w:basedOn w:val="Normal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77"/>
        <w:tab w:val="right" w:pos="9355"/>
      </w:tabs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Revision">
    <w:name w:val="Revision"/>
    <w:pPr>
      <w:suppressAutoHyphens w:val="1"/>
    </w:pPr>
    <w:rPr>
      <w:rFonts w:ascii="Calibri" w:cs="font1215" w:eastAsia="Calibri" w:hAnsi="Calibri"/>
      <w:kern w:val="1"/>
      <w:sz w:val="22"/>
      <w:szCs w:val="22"/>
      <w:lang w:eastAsia="en-US" w:val="ru-RU"/>
    </w:rPr>
  </w:style>
  <w:style w:type="paragraph" w:styleId="annotationtext" w:customStyle="1">
    <w:name w:val="annotation text"/>
    <w:basedOn w:val="Normal"/>
    <w:pPr>
      <w:spacing w:line="240" w:lineRule="auto"/>
    </w:pPr>
    <w:rPr>
      <w:sz w:val="24"/>
      <w:szCs w:val="24"/>
    </w:rPr>
  </w:style>
  <w:style w:type="paragraph" w:styleId="annotationsubject" w:customStyle="1">
    <w:name w:val="annotation subject"/>
    <w:basedOn w:val="annotationtext"/>
    <w:rPr>
      <w:b w:val="1"/>
      <w:bCs w:val="1"/>
      <w:sz w:val="20"/>
      <w:szCs w:val="20"/>
    </w:rPr>
  </w:style>
  <w:style w:type="paragraph" w:styleId="a8" w:customStyle="1">
    <w:name w:val="Содержимое таблицы"/>
    <w:basedOn w:val="Normal"/>
  </w:style>
  <w:style w:type="paragraph" w:styleId="a9" w:customStyle="1">
    <w:name w:val="Заголовок таблицы"/>
    <w:basedOn w:val="a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marttender.biz/?utm_medium=cpc&amp;utm_source=google&amp;utm_campaign=Brand_SmartTender&amp;utm_term=smarttender%20biz&amp;gclid=Cj0KCQiAhP2BBhDdARIsAJEzXlEBOFyZ2uaybkBQZRrMaRBVqK5FLwyX27DQgQBQoiHVIT08GWritSEaAh85EALw_wcB" TargetMode="External"/><Relationship Id="rId10" Type="http://schemas.openxmlformats.org/officeDocument/2006/relationships/hyperlink" Target="http://www.krruda.dp.ua/tender" TargetMode="External"/><Relationship Id="rId13" Type="http://schemas.openxmlformats.org/officeDocument/2006/relationships/header" Target="header2.xml"/><Relationship Id="rId12" Type="http://schemas.openxmlformats.org/officeDocument/2006/relationships/hyperlink" Target="mailto:Anatolii.Bidash@btsol.com.ua" TargetMode="Externa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rruda.dp.ua/tender/tipovye-dogovora/" TargetMode="External"/><Relationship Id="rId15" Type="http://schemas.openxmlformats.org/officeDocument/2006/relationships/footer" Target="footer2.xml"/><Relationship Id="rId14" Type="http://schemas.openxmlformats.org/officeDocument/2006/relationships/header" Target="header1.xml"/><Relationship Id="rId16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dbIFt32zUdx9Ll4/L3LRa/TqwA==">CgMxLjA4AHIhMXExNlFVc3lqYXdyWk8wY1d0TkQtWHVUUHZmeFVOV1ZY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2023-09-27T09:46:00Z</dcterms:created>
  <dc:creator>designer4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AppVersion">
    <vt:lpwstr>16.0000</vt:lpwstr>
  </property>
  <property fmtid="{D5CDD505-2E9C-101B-9397-08002B2CF9AE}" pid="9" name="ScaleCrop">
    <vt:lpwstr>false</vt:lpwstr>
  </property>
  <property fmtid="{D5CDD505-2E9C-101B-9397-08002B2CF9AE}" pid="10" name="DocSecurity">
    <vt:lpwstr>0</vt:lpwstr>
  </property>
  <property fmtid="{D5CDD505-2E9C-101B-9397-08002B2CF9AE}" pid="11" name="HyperlinksChanged">
    <vt:lpwstr>false</vt:lpwstr>
  </property>
  <property fmtid="{D5CDD505-2E9C-101B-9397-08002B2CF9AE}" pid="12" name="LinksUpToDate">
    <vt:lpwstr>false</vt:lpwstr>
  </property>
  <property fmtid="{D5CDD505-2E9C-101B-9397-08002B2CF9AE}" pid="13" name="ShareDoc">
    <vt:lpwstr>false</vt:lpwstr>
  </property>
</Properties>
</file>